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CFB" w14:textId="6BBBDA99" w:rsidR="00F1361D" w:rsidRPr="00F1361D" w:rsidRDefault="00F1361D" w:rsidP="00F1361D">
      <w:pPr>
        <w:rPr>
          <w:rFonts w:cstheme="minorHAnsi"/>
        </w:rPr>
      </w:pPr>
      <w:r w:rsidRPr="00F1361D">
        <w:rPr>
          <w:rFonts w:cstheme="minorHAnsi"/>
          <w:noProof/>
        </w:rPr>
        <w:drawing>
          <wp:inline distT="0" distB="0" distL="0" distR="0" wp14:anchorId="20BE111A" wp14:editId="093CE4AE">
            <wp:extent cx="1147119" cy="280678"/>
            <wp:effectExtent l="0" t="0" r="0" b="5080"/>
            <wp:docPr id="1232362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62799" name="Picture 1232362799"/>
                    <pic:cNvPicPr/>
                  </pic:nvPicPr>
                  <pic:blipFill>
                    <a:blip r:embed="rId5">
                      <a:extLst>
                        <a:ext uri="{28A0092B-C50C-407E-A947-70E740481C1C}">
                          <a14:useLocalDpi xmlns:a14="http://schemas.microsoft.com/office/drawing/2010/main" val="0"/>
                        </a:ext>
                      </a:extLst>
                    </a:blip>
                    <a:stretch>
                      <a:fillRect/>
                    </a:stretch>
                  </pic:blipFill>
                  <pic:spPr>
                    <a:xfrm>
                      <a:off x="0" y="0"/>
                      <a:ext cx="1147119" cy="280678"/>
                    </a:xfrm>
                    <a:prstGeom prst="rect">
                      <a:avLst/>
                    </a:prstGeom>
                  </pic:spPr>
                </pic:pic>
              </a:graphicData>
            </a:graphic>
          </wp:inline>
        </w:drawing>
      </w:r>
    </w:p>
    <w:p w14:paraId="05DB6433" w14:textId="4A246C35" w:rsidR="00F1361D" w:rsidRPr="00F1361D" w:rsidRDefault="003D68C3" w:rsidP="00F1361D">
      <w:pPr>
        <w:jc w:val="center"/>
        <w:rPr>
          <w:rFonts w:cstheme="minorHAnsi"/>
          <w:b/>
          <w:bCs/>
          <w:sz w:val="28"/>
          <w:szCs w:val="28"/>
          <w:u w:val="single"/>
        </w:rPr>
      </w:pPr>
      <w:r>
        <w:rPr>
          <w:rFonts w:cstheme="minorHAnsi"/>
          <w:b/>
          <w:bCs/>
          <w:sz w:val="28"/>
          <w:szCs w:val="28"/>
          <w:u w:val="single"/>
        </w:rPr>
        <w:t>Data Protectio</w:t>
      </w:r>
      <w:r w:rsidR="00F66FE3">
        <w:rPr>
          <w:rFonts w:cstheme="minorHAnsi"/>
          <w:b/>
          <w:bCs/>
          <w:sz w:val="28"/>
          <w:szCs w:val="28"/>
          <w:u w:val="single"/>
        </w:rPr>
        <w:t>n Policy</w:t>
      </w:r>
    </w:p>
    <w:p w14:paraId="4C9FB19F" w14:textId="77777777" w:rsidR="00F1361D" w:rsidRPr="00F1361D" w:rsidRDefault="00F1361D" w:rsidP="00F1361D">
      <w:pPr>
        <w:rPr>
          <w:rFonts w:cstheme="minorHAnsi"/>
        </w:rPr>
      </w:pPr>
    </w:p>
    <w:p w14:paraId="2D86D99E" w14:textId="3C835EF9" w:rsidR="003D68C3" w:rsidRPr="003D68C3" w:rsidRDefault="00F1361D" w:rsidP="003D68C3">
      <w:pPr>
        <w:rPr>
          <w:rFonts w:cstheme="minorHAnsi"/>
        </w:rPr>
      </w:pPr>
      <w:r w:rsidRPr="003D68C3">
        <w:rPr>
          <w:rFonts w:cstheme="minorHAnsi"/>
        </w:rPr>
        <w:t xml:space="preserve"> </w:t>
      </w:r>
      <w:r w:rsidR="003D68C3" w:rsidRPr="003D68C3">
        <w:rPr>
          <w:rFonts w:cstheme="minorHAnsi"/>
        </w:rPr>
        <w:t xml:space="preserve">Protection against inappropriate data leaks, also known as data leakage prevention (DLP), is a critical aspect of </w:t>
      </w:r>
      <w:r w:rsidR="003D68C3">
        <w:rPr>
          <w:rFonts w:cstheme="minorHAnsi"/>
        </w:rPr>
        <w:t>Oxcyon’s internal processes in place for both Oxcyon and technology partners in part of the overall I</w:t>
      </w:r>
      <w:r w:rsidR="003D68C3" w:rsidRPr="003D68C3">
        <w:rPr>
          <w:rFonts w:cstheme="minorHAnsi"/>
        </w:rPr>
        <w:t xml:space="preserve">nformation </w:t>
      </w:r>
      <w:r w:rsidR="003D68C3">
        <w:rPr>
          <w:rFonts w:cstheme="minorHAnsi"/>
        </w:rPr>
        <w:t>S</w:t>
      </w:r>
      <w:r w:rsidR="003D68C3" w:rsidRPr="003D68C3">
        <w:rPr>
          <w:rFonts w:cstheme="minorHAnsi"/>
        </w:rPr>
        <w:t>ecurity</w:t>
      </w:r>
      <w:r w:rsidR="003D68C3">
        <w:rPr>
          <w:rFonts w:cstheme="minorHAnsi"/>
        </w:rPr>
        <w:t xml:space="preserve"> plan and policies.  </w:t>
      </w:r>
      <w:r w:rsidR="003D68C3" w:rsidRPr="003D68C3">
        <w:rPr>
          <w:rFonts w:cstheme="minorHAnsi"/>
        </w:rPr>
        <w:t xml:space="preserve">Data leaks can occur through various means, including accidental sharing of sensitive information, malicious actions by insiders or external attackers, or vulnerabilities in software and systems. To prevent inappropriate data leaks, </w:t>
      </w:r>
      <w:r w:rsidR="003A4EE1">
        <w:rPr>
          <w:rFonts w:cstheme="minorHAnsi"/>
        </w:rPr>
        <w:t xml:space="preserve">Oxcyon has </w:t>
      </w:r>
      <w:r w:rsidR="003D68C3" w:rsidRPr="003D68C3">
        <w:rPr>
          <w:rFonts w:cstheme="minorHAnsi"/>
        </w:rPr>
        <w:t>implement</w:t>
      </w:r>
      <w:r w:rsidR="003A4EE1">
        <w:rPr>
          <w:rFonts w:cstheme="minorHAnsi"/>
        </w:rPr>
        <w:t>ed</w:t>
      </w:r>
      <w:r w:rsidR="003D68C3" w:rsidRPr="003D68C3">
        <w:rPr>
          <w:rFonts w:cstheme="minorHAnsi"/>
        </w:rPr>
        <w:t xml:space="preserve"> a range of measures and best practices:</w:t>
      </w:r>
    </w:p>
    <w:p w14:paraId="29574529" w14:textId="658A9CEF" w:rsidR="003D68C3" w:rsidRPr="003D68C3" w:rsidRDefault="003D68C3" w:rsidP="003D68C3">
      <w:pPr>
        <w:rPr>
          <w:rFonts w:cstheme="minorHAnsi"/>
        </w:rPr>
      </w:pPr>
      <w:r w:rsidRPr="00F66FE3">
        <w:rPr>
          <w:rFonts w:cstheme="minorHAnsi"/>
          <w:b/>
          <w:bCs/>
        </w:rPr>
        <w:t>1.  Data Classification:</w:t>
      </w:r>
      <w:r w:rsidRPr="003D68C3">
        <w:rPr>
          <w:rFonts w:cstheme="minorHAnsi"/>
        </w:rPr>
        <w:t xml:space="preserve">  </w:t>
      </w:r>
      <w:r w:rsidR="00E4046E">
        <w:rPr>
          <w:rFonts w:cstheme="minorHAnsi"/>
        </w:rPr>
        <w:t>C</w:t>
      </w:r>
      <w:r w:rsidRPr="003D68C3">
        <w:rPr>
          <w:rFonts w:cstheme="minorHAnsi"/>
        </w:rPr>
        <w:t>lassifying data based on its sensitivity. This helps in identifying what needs the highest level of protection. For example, personal, financial, or health data might be classified as highly sensitive, while public information may not require as much protection.</w:t>
      </w:r>
    </w:p>
    <w:p w14:paraId="4F683257" w14:textId="0B0F2AC4" w:rsidR="003D68C3" w:rsidRPr="003D68C3" w:rsidRDefault="003D68C3" w:rsidP="003D68C3">
      <w:pPr>
        <w:rPr>
          <w:rFonts w:cstheme="minorHAnsi"/>
        </w:rPr>
      </w:pPr>
      <w:r w:rsidRPr="00F66FE3">
        <w:rPr>
          <w:rFonts w:cstheme="minorHAnsi"/>
          <w:b/>
          <w:bCs/>
        </w:rPr>
        <w:t>2.  Data Inventory:</w:t>
      </w:r>
      <w:r w:rsidRPr="003D68C3">
        <w:rPr>
          <w:rFonts w:cstheme="minorHAnsi"/>
        </w:rPr>
        <w:t xml:space="preserve">  Maintain an inventory of all the data your organization collects, processes, and stores. Knowing where your data resides is crucial for implementing effective protection measures.</w:t>
      </w:r>
    </w:p>
    <w:p w14:paraId="6B6009D8" w14:textId="736E099B" w:rsidR="003D68C3" w:rsidRPr="003D68C3" w:rsidRDefault="003D68C3" w:rsidP="003D68C3">
      <w:pPr>
        <w:rPr>
          <w:rFonts w:cstheme="minorHAnsi"/>
        </w:rPr>
      </w:pPr>
      <w:r w:rsidRPr="00F66FE3">
        <w:rPr>
          <w:rFonts w:cstheme="minorHAnsi"/>
          <w:b/>
          <w:bCs/>
        </w:rPr>
        <w:t>3.  Access Control:</w:t>
      </w:r>
      <w:r w:rsidRPr="003D68C3">
        <w:rPr>
          <w:rFonts w:cstheme="minorHAnsi"/>
        </w:rPr>
        <w:t xml:space="preserve">  Implement strict access controls to ensure that only authorized personnel can access sensitive data. Use role-based access control (RBAC) and least privilege principles to limit access to the minimum necessary for employees to perform their duties.</w:t>
      </w:r>
    </w:p>
    <w:p w14:paraId="483B44D6" w14:textId="6CF85917" w:rsidR="003D68C3" w:rsidRPr="003D68C3" w:rsidRDefault="003D68C3" w:rsidP="003D68C3">
      <w:pPr>
        <w:rPr>
          <w:rFonts w:cstheme="minorHAnsi"/>
        </w:rPr>
      </w:pPr>
      <w:r w:rsidRPr="00F66FE3">
        <w:rPr>
          <w:rFonts w:cstheme="minorHAnsi"/>
          <w:b/>
          <w:bCs/>
        </w:rPr>
        <w:t>4.  Encryption:</w:t>
      </w:r>
      <w:r w:rsidRPr="003D68C3">
        <w:rPr>
          <w:rFonts w:cstheme="minorHAnsi"/>
        </w:rPr>
        <w:t xml:space="preserve">  </w:t>
      </w:r>
      <w:r>
        <w:rPr>
          <w:rFonts w:cstheme="minorHAnsi"/>
        </w:rPr>
        <w:t xml:space="preserve">TDE Encryption is used when transferring data in and out of Centralpoint (MS SQL) 2019 </w:t>
      </w:r>
      <w:r w:rsidRPr="003D68C3">
        <w:rPr>
          <w:rFonts w:cstheme="minorHAnsi"/>
        </w:rPr>
        <w:t>Encrypt sensitive data both in transit and at rest. Use strong encryption algorithms and key management practices to protect data from unauthorized access, even if it falls into the wrong hands.</w:t>
      </w:r>
      <w:r w:rsidR="00883162">
        <w:rPr>
          <w:rFonts w:cstheme="minorHAnsi"/>
        </w:rPr>
        <w:br/>
      </w:r>
      <w:hyperlink r:id="rId6" w:history="1">
        <w:r w:rsidR="00883162" w:rsidRPr="00C671CB">
          <w:rPr>
            <w:rStyle w:val="Hyperlink"/>
            <w:rFonts w:cstheme="minorHAnsi"/>
          </w:rPr>
          <w:t>https://www.oxcyon.com/Uploads/Public/Documents/SQL%202019%20TDE%20Encryption%20and%20Database%20Restore%20Procedure.pdf</w:t>
        </w:r>
      </w:hyperlink>
      <w:r w:rsidR="00883162">
        <w:rPr>
          <w:rFonts w:cstheme="minorHAnsi"/>
        </w:rPr>
        <w:t xml:space="preserve"> </w:t>
      </w:r>
    </w:p>
    <w:p w14:paraId="58103470" w14:textId="2A74CDE3" w:rsidR="003D68C3" w:rsidRPr="003D68C3" w:rsidRDefault="003D68C3" w:rsidP="003D68C3">
      <w:pPr>
        <w:rPr>
          <w:rFonts w:cstheme="minorHAnsi"/>
        </w:rPr>
      </w:pPr>
      <w:r w:rsidRPr="00F66FE3">
        <w:rPr>
          <w:rFonts w:cstheme="minorHAnsi"/>
          <w:b/>
          <w:bCs/>
        </w:rPr>
        <w:t xml:space="preserve">5.  User Education and Awareness:  </w:t>
      </w:r>
      <w:r w:rsidR="0062431C">
        <w:rPr>
          <w:rFonts w:cstheme="minorHAnsi"/>
        </w:rPr>
        <w:t>Oxcyon trains</w:t>
      </w:r>
      <w:r w:rsidRPr="003D68C3">
        <w:rPr>
          <w:rFonts w:cstheme="minorHAnsi"/>
        </w:rPr>
        <w:t xml:space="preserve"> employees </w:t>
      </w:r>
      <w:r w:rsidR="00E4046E" w:rsidRPr="003D68C3">
        <w:rPr>
          <w:rFonts w:cstheme="minorHAnsi"/>
        </w:rPr>
        <w:t>in</w:t>
      </w:r>
      <w:r w:rsidRPr="003D68C3">
        <w:rPr>
          <w:rFonts w:cstheme="minorHAnsi"/>
        </w:rPr>
        <w:t xml:space="preserve"> data security best practices. Teach them how to recognize and respond to phishing attacks, social engineering attempts, and other tactics that can lead to data leaks.</w:t>
      </w:r>
    </w:p>
    <w:p w14:paraId="45D38F43" w14:textId="222960FF" w:rsidR="003D68C3" w:rsidRPr="003D68C3" w:rsidRDefault="003D68C3" w:rsidP="003D68C3">
      <w:pPr>
        <w:rPr>
          <w:rFonts w:cstheme="minorHAnsi"/>
        </w:rPr>
      </w:pPr>
      <w:r w:rsidRPr="00F66FE3">
        <w:rPr>
          <w:rFonts w:cstheme="minorHAnsi"/>
          <w:b/>
          <w:bCs/>
        </w:rPr>
        <w:t>6.  Data Loss Prevention (DLP) Solutions:</w:t>
      </w:r>
      <w:r w:rsidRPr="003D68C3">
        <w:rPr>
          <w:rFonts w:cstheme="minorHAnsi"/>
        </w:rPr>
        <w:t xml:space="preserve">  Implement DLP solutions that can monitor and enforce data security policies. These tools can identify and block unauthorized data transfers or leaks, whether intentional or accidental.</w:t>
      </w:r>
      <w:r w:rsidR="00FD3847">
        <w:rPr>
          <w:rFonts w:cstheme="minorHAnsi"/>
        </w:rPr>
        <w:t xml:space="preserve"> (Rackspace handles this for external purposes) </w:t>
      </w:r>
    </w:p>
    <w:p w14:paraId="0C4FA3D5" w14:textId="26711D80" w:rsidR="003D68C3" w:rsidRPr="003D68C3" w:rsidRDefault="003D68C3" w:rsidP="003D68C3">
      <w:pPr>
        <w:rPr>
          <w:rFonts w:cstheme="minorHAnsi"/>
        </w:rPr>
      </w:pPr>
      <w:r w:rsidRPr="00F66FE3">
        <w:rPr>
          <w:rFonts w:cstheme="minorHAnsi"/>
          <w:b/>
          <w:bCs/>
        </w:rPr>
        <w:t>7.  Data Masking/Anonymization:</w:t>
      </w:r>
      <w:r w:rsidRPr="003D68C3">
        <w:rPr>
          <w:rFonts w:cstheme="minorHAnsi"/>
        </w:rPr>
        <w:t xml:space="preserve">  When sharing data with third parties or for testing purposes, consider using data masking or anonymization techniques to protect sensitive information while still allowing necessary access.</w:t>
      </w:r>
    </w:p>
    <w:p w14:paraId="300ABDD2" w14:textId="74619502" w:rsidR="003D68C3" w:rsidRPr="003D68C3" w:rsidRDefault="003D68C3" w:rsidP="003D68C3">
      <w:pPr>
        <w:rPr>
          <w:rFonts w:cstheme="minorHAnsi"/>
        </w:rPr>
      </w:pPr>
      <w:r w:rsidRPr="00F66FE3">
        <w:rPr>
          <w:rFonts w:cstheme="minorHAnsi"/>
          <w:b/>
          <w:bCs/>
        </w:rPr>
        <w:t>8.  Network Segmentation:</w:t>
      </w:r>
      <w:r w:rsidRPr="003D68C3">
        <w:rPr>
          <w:rFonts w:cstheme="minorHAnsi"/>
        </w:rPr>
        <w:t xml:space="preserve">  Segment</w:t>
      </w:r>
      <w:r w:rsidR="005836D3">
        <w:rPr>
          <w:rFonts w:cstheme="minorHAnsi"/>
        </w:rPr>
        <w:t xml:space="preserve">ation within </w:t>
      </w:r>
      <w:r w:rsidRPr="003D68C3">
        <w:rPr>
          <w:rFonts w:cstheme="minorHAnsi"/>
        </w:rPr>
        <w:t>network</w:t>
      </w:r>
      <w:r w:rsidR="005836D3">
        <w:rPr>
          <w:rFonts w:cstheme="minorHAnsi"/>
        </w:rPr>
        <w:t>(s)</w:t>
      </w:r>
      <w:r w:rsidRPr="003D68C3">
        <w:rPr>
          <w:rFonts w:cstheme="minorHAnsi"/>
        </w:rPr>
        <w:t xml:space="preserve"> to limit the flow of sensitive data and create barriers that prevent unauthorized access or lateral movement by attackers.</w:t>
      </w:r>
    </w:p>
    <w:p w14:paraId="2720FE5A" w14:textId="2D729448" w:rsidR="003D68C3" w:rsidRPr="003D68C3" w:rsidRDefault="003D68C3" w:rsidP="003D68C3">
      <w:pPr>
        <w:rPr>
          <w:rFonts w:cstheme="minorHAnsi"/>
        </w:rPr>
      </w:pPr>
      <w:r w:rsidRPr="00F66FE3">
        <w:rPr>
          <w:rFonts w:cstheme="minorHAnsi"/>
          <w:b/>
          <w:bCs/>
        </w:rPr>
        <w:t>9.  Logging and Monitoring</w:t>
      </w:r>
      <w:r w:rsidRPr="003D68C3">
        <w:rPr>
          <w:rFonts w:cstheme="minorHAnsi"/>
        </w:rPr>
        <w:t xml:space="preserve">:  </w:t>
      </w:r>
      <w:r>
        <w:rPr>
          <w:rFonts w:cstheme="minorHAnsi"/>
        </w:rPr>
        <w:t>R</w:t>
      </w:r>
      <w:r w:rsidRPr="003D68C3">
        <w:rPr>
          <w:rFonts w:cstheme="minorHAnsi"/>
        </w:rPr>
        <w:t>obust logging and monitoring systems to detect suspicious activities or access to sensitive data. Analyze logs regularly for any signs of data leaks or security breaches.</w:t>
      </w:r>
      <w:r w:rsidR="00AF54AB">
        <w:rPr>
          <w:rFonts w:cstheme="minorHAnsi"/>
        </w:rPr>
        <w:br/>
      </w:r>
      <w:r w:rsidR="00AF54AB">
        <w:rPr>
          <w:rFonts w:cstheme="minorHAnsi"/>
        </w:rPr>
        <w:br/>
      </w:r>
    </w:p>
    <w:p w14:paraId="740863F6" w14:textId="41BB666A" w:rsidR="003D68C3" w:rsidRPr="003D68C3" w:rsidRDefault="003D68C3" w:rsidP="003D68C3">
      <w:pPr>
        <w:rPr>
          <w:rFonts w:cstheme="minorHAnsi"/>
        </w:rPr>
      </w:pPr>
      <w:r w:rsidRPr="00F66FE3">
        <w:rPr>
          <w:rFonts w:cstheme="minorHAnsi"/>
          <w:b/>
          <w:bCs/>
        </w:rPr>
        <w:lastRenderedPageBreak/>
        <w:t>10.  Incident Response Plan:</w:t>
      </w:r>
      <w:r w:rsidRPr="003D68C3">
        <w:rPr>
          <w:rFonts w:cstheme="minorHAnsi"/>
        </w:rPr>
        <w:t xml:space="preserve">  Develop a comprehensive incident response plan that outlines how your organization will react in case of a data leak. This should include steps for containment, investigation, notification, and recovery.</w:t>
      </w:r>
      <w:r>
        <w:rPr>
          <w:rFonts w:cstheme="minorHAnsi"/>
        </w:rPr>
        <w:t xml:space="preserve"> </w:t>
      </w:r>
      <w:r w:rsidR="000357F3">
        <w:rPr>
          <w:rFonts w:cstheme="minorHAnsi"/>
        </w:rPr>
        <w:br/>
        <w:t xml:space="preserve">Incident </w:t>
      </w:r>
      <w:r w:rsidR="004B5B1F">
        <w:rPr>
          <w:rFonts w:cstheme="minorHAnsi"/>
        </w:rPr>
        <w:t xml:space="preserve">flow chart </w:t>
      </w:r>
      <w:hyperlink r:id="rId7" w:history="1">
        <w:r w:rsidR="004B5B1F" w:rsidRPr="00C671CB">
          <w:rPr>
            <w:rStyle w:val="Hyperlink"/>
            <w:rFonts w:cstheme="minorHAnsi"/>
          </w:rPr>
          <w:t>https://www.oxcyon.com/Uploads/Public/Documents/ServerDocs/incident-flowchart.pdf</w:t>
        </w:r>
      </w:hyperlink>
      <w:r w:rsidR="004B5B1F">
        <w:rPr>
          <w:rFonts w:cstheme="minorHAnsi"/>
        </w:rPr>
        <w:t xml:space="preserve"> </w:t>
      </w:r>
      <w:r w:rsidR="004B5B1F">
        <w:rPr>
          <w:rFonts w:cstheme="minorHAnsi"/>
        </w:rPr>
        <w:br/>
        <w:t xml:space="preserve">Incident Response Policy </w:t>
      </w:r>
      <w:hyperlink r:id="rId8" w:history="1">
        <w:r w:rsidR="004B5B1F" w:rsidRPr="00C671CB">
          <w:rPr>
            <w:rStyle w:val="Hyperlink"/>
            <w:rFonts w:cstheme="minorHAnsi"/>
          </w:rPr>
          <w:t>https://www.oxcyon.com/Uploads/Public/Documents/ServerDocs/IncidentResponseProcedure.docx</w:t>
        </w:r>
      </w:hyperlink>
      <w:r w:rsidR="004B5B1F">
        <w:rPr>
          <w:rFonts w:cstheme="minorHAnsi"/>
        </w:rPr>
        <w:t xml:space="preserve"> </w:t>
      </w:r>
    </w:p>
    <w:p w14:paraId="09EECB7B" w14:textId="76078C0D" w:rsidR="003D68C3" w:rsidRPr="003D68C3" w:rsidRDefault="003D68C3" w:rsidP="003D68C3">
      <w:pPr>
        <w:rPr>
          <w:rFonts w:cstheme="minorHAnsi"/>
        </w:rPr>
      </w:pPr>
      <w:r w:rsidRPr="00F66FE3">
        <w:rPr>
          <w:rFonts w:cstheme="minorHAnsi"/>
          <w:b/>
          <w:bCs/>
        </w:rPr>
        <w:t>11.  Regular Auditing and Assessments:</w:t>
      </w:r>
      <w:r w:rsidRPr="003D68C3">
        <w:rPr>
          <w:rFonts w:cstheme="minorHAnsi"/>
        </w:rPr>
        <w:t xml:space="preserve">  Conduct regular security audits and assessments to identify vulnerabilities and weaknesses in your data protection measures. Address any issues promptly.</w:t>
      </w:r>
    </w:p>
    <w:p w14:paraId="23D8C767" w14:textId="0BE2E991" w:rsidR="003D68C3" w:rsidRPr="003D68C3" w:rsidRDefault="003D68C3" w:rsidP="003D68C3">
      <w:pPr>
        <w:rPr>
          <w:rFonts w:cstheme="minorHAnsi"/>
        </w:rPr>
      </w:pPr>
      <w:r w:rsidRPr="00F66FE3">
        <w:rPr>
          <w:rFonts w:cstheme="minorHAnsi"/>
          <w:b/>
          <w:bCs/>
        </w:rPr>
        <w:t>12.  Compliance with Regulations:</w:t>
      </w:r>
      <w:r w:rsidRPr="003D68C3">
        <w:rPr>
          <w:rFonts w:cstheme="minorHAnsi"/>
        </w:rPr>
        <w:t xml:space="preserve">  Ensure that your data protection practices comply with relevant data protection regulations and standards, such as GDPR, HIPAA, or PCI DSS, depending on your industry and location.</w:t>
      </w:r>
      <w:r w:rsidR="00883162">
        <w:rPr>
          <w:rFonts w:cstheme="minorHAnsi"/>
        </w:rPr>
        <w:br/>
      </w:r>
      <w:hyperlink r:id="rId9" w:history="1">
        <w:r w:rsidR="00883162" w:rsidRPr="00C671CB">
          <w:rPr>
            <w:rStyle w:val="Hyperlink"/>
            <w:rFonts w:cstheme="minorHAnsi"/>
          </w:rPr>
          <w:t>https://www.oxcyon.com/centralpoint-dxp/technical-documents-certificates</w:t>
        </w:r>
      </w:hyperlink>
      <w:r w:rsidR="00883162">
        <w:rPr>
          <w:rFonts w:cstheme="minorHAnsi"/>
        </w:rPr>
        <w:t xml:space="preserve"> </w:t>
      </w:r>
    </w:p>
    <w:p w14:paraId="4EAA7CB9" w14:textId="40D70287" w:rsidR="003D68C3" w:rsidRPr="003D68C3" w:rsidRDefault="003D68C3" w:rsidP="003D68C3">
      <w:pPr>
        <w:rPr>
          <w:rFonts w:cstheme="minorHAnsi"/>
        </w:rPr>
      </w:pPr>
      <w:r w:rsidRPr="00F66FE3">
        <w:rPr>
          <w:rFonts w:cstheme="minorHAnsi"/>
          <w:b/>
          <w:bCs/>
        </w:rPr>
        <w:t xml:space="preserve">13.  Data Retention and Disposal:  </w:t>
      </w:r>
      <w:r w:rsidR="00B868A3">
        <w:rPr>
          <w:rFonts w:cstheme="minorHAnsi"/>
        </w:rPr>
        <w:t xml:space="preserve">Oxcyon has </w:t>
      </w:r>
      <w:r w:rsidRPr="003D68C3">
        <w:rPr>
          <w:rFonts w:cstheme="minorHAnsi"/>
        </w:rPr>
        <w:t>Implement</w:t>
      </w:r>
      <w:r w:rsidR="00B868A3">
        <w:rPr>
          <w:rFonts w:cstheme="minorHAnsi"/>
        </w:rPr>
        <w:t>ed</w:t>
      </w:r>
      <w:r w:rsidRPr="003D68C3">
        <w:rPr>
          <w:rFonts w:cstheme="minorHAnsi"/>
        </w:rPr>
        <w:t xml:space="preserve"> policies for the proper retention and secure disposal of data that is no longer needed. This reduces the risk of data leaks from outdated or unnecessary information.</w:t>
      </w:r>
    </w:p>
    <w:p w14:paraId="25F0EAEB" w14:textId="6D138220" w:rsidR="003D68C3" w:rsidRPr="003D68C3" w:rsidRDefault="003D68C3" w:rsidP="003D68C3">
      <w:pPr>
        <w:rPr>
          <w:rFonts w:cstheme="minorHAnsi"/>
        </w:rPr>
      </w:pPr>
      <w:r w:rsidRPr="00F66FE3">
        <w:rPr>
          <w:rFonts w:cstheme="minorHAnsi"/>
          <w:b/>
          <w:bCs/>
        </w:rPr>
        <w:t>14.  Remote Work Security:</w:t>
      </w:r>
      <w:r w:rsidRPr="003D68C3">
        <w:rPr>
          <w:rFonts w:cstheme="minorHAnsi"/>
        </w:rPr>
        <w:t xml:space="preserve">  </w:t>
      </w:r>
      <w:r w:rsidR="00BF1A53">
        <w:rPr>
          <w:rFonts w:cstheme="minorHAnsi"/>
        </w:rPr>
        <w:t xml:space="preserve">Oxcyon utilized a variety of remoted tools to </w:t>
      </w:r>
      <w:r w:rsidRPr="003D68C3">
        <w:rPr>
          <w:rFonts w:cstheme="minorHAnsi"/>
        </w:rPr>
        <w:t>supports remote work, ensure that remote access is secured through VPNs, multi-factor authentication (MFA), and secure collaboration tools.</w:t>
      </w:r>
      <w:r w:rsidR="00883162">
        <w:rPr>
          <w:rFonts w:cstheme="minorHAnsi"/>
        </w:rPr>
        <w:br/>
      </w:r>
      <w:hyperlink r:id="rId10" w:history="1">
        <w:r w:rsidR="00883162" w:rsidRPr="00C671CB">
          <w:rPr>
            <w:rStyle w:val="Hyperlink"/>
            <w:rFonts w:cstheme="minorHAnsi"/>
          </w:rPr>
          <w:t>https://www.oxcyon.com/centralpoint-dxp/technical-documents-certificates</w:t>
        </w:r>
      </w:hyperlink>
      <w:r w:rsidR="00883162">
        <w:rPr>
          <w:rFonts w:cstheme="minorHAnsi"/>
        </w:rPr>
        <w:t xml:space="preserve"> </w:t>
      </w:r>
    </w:p>
    <w:p w14:paraId="267104AD" w14:textId="314D9A6D" w:rsidR="003D68C3" w:rsidRPr="003D68C3" w:rsidRDefault="003D68C3" w:rsidP="003D68C3">
      <w:pPr>
        <w:rPr>
          <w:rFonts w:cstheme="minorHAnsi"/>
        </w:rPr>
      </w:pPr>
      <w:r w:rsidRPr="00F66FE3">
        <w:rPr>
          <w:rFonts w:cstheme="minorHAnsi"/>
          <w:b/>
          <w:bCs/>
        </w:rPr>
        <w:t>15.  Vendor Risk Management:</w:t>
      </w:r>
      <w:r w:rsidRPr="003D68C3">
        <w:rPr>
          <w:rFonts w:cstheme="minorHAnsi"/>
        </w:rPr>
        <w:t xml:space="preserve">  Assess the security practices of third-party vendors and partners who have access to your data. Ensure they have robust security measures in place to prevent data leaks.</w:t>
      </w:r>
    </w:p>
    <w:p w14:paraId="58CD2961" w14:textId="77777777" w:rsidR="003D68C3" w:rsidRPr="003D68C3" w:rsidRDefault="003D68C3" w:rsidP="003D68C3">
      <w:pPr>
        <w:rPr>
          <w:rFonts w:cstheme="minorHAnsi"/>
          <w:b/>
          <w:bCs/>
        </w:rPr>
      </w:pPr>
    </w:p>
    <w:p w14:paraId="0757429F" w14:textId="51B9417C" w:rsidR="006C600C" w:rsidRDefault="003D68C3" w:rsidP="003D68C3">
      <w:pPr>
        <w:rPr>
          <w:rFonts w:cstheme="minorHAnsi"/>
        </w:rPr>
      </w:pPr>
      <w:r w:rsidRPr="003D68C3">
        <w:rPr>
          <w:rFonts w:cstheme="minorHAnsi"/>
          <w:b/>
          <w:bCs/>
          <w:u w:val="single"/>
        </w:rPr>
        <w:t>Protection against inappropriate data leaks is an ongoing process that requires a combination of technology, policies, and employee awareness. It's essential to adapt and evolve your data protection strategy as new threats and technologies emerge.</w:t>
      </w:r>
    </w:p>
    <w:p w14:paraId="4E998A3D" w14:textId="77777777" w:rsidR="006C600C" w:rsidRDefault="006C600C" w:rsidP="006C600C">
      <w:pPr>
        <w:rPr>
          <w:rFonts w:cstheme="minorHAnsi"/>
        </w:rPr>
      </w:pPr>
    </w:p>
    <w:p w14:paraId="3A435A61" w14:textId="77777777" w:rsidR="00530E16" w:rsidRDefault="00530E16" w:rsidP="006C600C">
      <w:pPr>
        <w:rPr>
          <w:rFonts w:cstheme="minorHAnsi"/>
        </w:rPr>
      </w:pPr>
    </w:p>
    <w:p w14:paraId="22BDB54D" w14:textId="77777777" w:rsidR="00530E16" w:rsidRDefault="00530E16" w:rsidP="006C600C">
      <w:pPr>
        <w:rPr>
          <w:rFonts w:cstheme="minorHAnsi"/>
        </w:rPr>
      </w:pPr>
    </w:p>
    <w:p w14:paraId="710C1FB7" w14:textId="77777777" w:rsidR="00530E16" w:rsidRDefault="00530E16" w:rsidP="006C600C">
      <w:pPr>
        <w:rPr>
          <w:rFonts w:cstheme="minorHAnsi"/>
        </w:rPr>
      </w:pPr>
    </w:p>
    <w:p w14:paraId="4F625D07" w14:textId="77777777" w:rsidR="00530E16" w:rsidRDefault="00530E16" w:rsidP="006C600C">
      <w:pPr>
        <w:rPr>
          <w:rFonts w:cstheme="minorHAnsi"/>
        </w:rPr>
      </w:pPr>
    </w:p>
    <w:p w14:paraId="55BFCDCE" w14:textId="77777777" w:rsidR="00530E16" w:rsidRDefault="00530E16" w:rsidP="006C600C">
      <w:pPr>
        <w:rPr>
          <w:rFonts w:cstheme="minorHAnsi"/>
        </w:rPr>
      </w:pPr>
    </w:p>
    <w:p w14:paraId="5BD5E2A7" w14:textId="77777777" w:rsidR="00530E16" w:rsidRDefault="00530E16" w:rsidP="006C600C">
      <w:pPr>
        <w:rPr>
          <w:rFonts w:cstheme="minorHAnsi"/>
        </w:rPr>
      </w:pPr>
    </w:p>
    <w:p w14:paraId="382A5C0E" w14:textId="77777777" w:rsidR="00530E16" w:rsidRDefault="00530E16" w:rsidP="006C600C">
      <w:pPr>
        <w:rPr>
          <w:rFonts w:cstheme="minorHAnsi"/>
        </w:rPr>
      </w:pPr>
    </w:p>
    <w:p w14:paraId="2890949A" w14:textId="77777777" w:rsidR="00530E16" w:rsidRDefault="00530E16" w:rsidP="006C600C">
      <w:pPr>
        <w:rPr>
          <w:rFonts w:cstheme="minorHAnsi"/>
        </w:rPr>
      </w:pPr>
    </w:p>
    <w:p w14:paraId="22C6D7E0" w14:textId="4DA1A2F3" w:rsidR="006C600C" w:rsidRPr="006C600C" w:rsidRDefault="006C600C" w:rsidP="006C600C">
      <w:pPr>
        <w:rPr>
          <w:rFonts w:cstheme="minorHAnsi"/>
          <w:b/>
          <w:bCs/>
        </w:rPr>
      </w:pPr>
      <w:r w:rsidRPr="006C600C">
        <w:rPr>
          <w:rFonts w:cstheme="minorHAnsi"/>
          <w:b/>
          <w:bCs/>
          <w:u w:val="single"/>
        </w:rPr>
        <w:lastRenderedPageBreak/>
        <w:t>Questions</w:t>
      </w:r>
    </w:p>
    <w:p w14:paraId="731BD67C" w14:textId="1115AB6A" w:rsidR="00A11441" w:rsidRDefault="006C600C" w:rsidP="00F1361D">
      <w:pPr>
        <w:rPr>
          <w:rFonts w:cstheme="minorHAnsi"/>
        </w:rPr>
      </w:pPr>
      <w:r w:rsidRPr="006C600C">
        <w:rPr>
          <w:rFonts w:cstheme="minorHAnsi"/>
        </w:rPr>
        <w:t>All questions about this</w:t>
      </w:r>
      <w:r w:rsidR="00530E16">
        <w:rPr>
          <w:rFonts w:cstheme="minorHAnsi"/>
        </w:rPr>
        <w:t xml:space="preserve"> outline </w:t>
      </w:r>
      <w:r w:rsidRPr="006C600C">
        <w:rPr>
          <w:rFonts w:cstheme="minorHAnsi"/>
        </w:rPr>
        <w:t xml:space="preserve">or any other areas regarding Information Technology should be directed to the Chief Information Officer (CIO), who can be contacted at </w:t>
      </w:r>
      <w:hyperlink r:id="rId11">
        <w:r w:rsidRPr="006C600C">
          <w:rPr>
            <w:rStyle w:val="Hyperlink"/>
            <w:rFonts w:cstheme="minorHAnsi"/>
          </w:rPr>
          <w:t>mkerchenski@oxcyon.com</w:t>
        </w:r>
      </w:hyperlink>
      <w:r w:rsidRPr="006C600C">
        <w:rPr>
          <w:rFonts w:cstheme="minorHAnsi"/>
        </w:rPr>
        <w:t xml:space="preserve"> </w:t>
      </w:r>
      <w:r>
        <w:rPr>
          <w:rFonts w:cstheme="minorHAnsi"/>
        </w:rPr>
        <w:br/>
      </w:r>
    </w:p>
    <w:p w14:paraId="0E00470A" w14:textId="77777777" w:rsidR="00A11441" w:rsidRDefault="00A11441" w:rsidP="00A11441">
      <w:pPr>
        <w:spacing w:before="111"/>
        <w:ind w:left="120"/>
        <w:rPr>
          <w:b/>
          <w:sz w:val="24"/>
        </w:rPr>
      </w:pPr>
      <w:r>
        <w:rPr>
          <w:b/>
          <w:sz w:val="24"/>
          <w:u w:val="single"/>
        </w:rPr>
        <w:t>Revision</w:t>
      </w:r>
      <w:r>
        <w:rPr>
          <w:b/>
          <w:spacing w:val="-7"/>
          <w:sz w:val="24"/>
          <w:u w:val="single"/>
        </w:rPr>
        <w:t xml:space="preserve"> </w:t>
      </w:r>
      <w:r>
        <w:rPr>
          <w:b/>
          <w:spacing w:val="-2"/>
          <w:sz w:val="24"/>
          <w:u w:val="single"/>
        </w:rPr>
        <w:t>History</w:t>
      </w:r>
    </w:p>
    <w:p w14:paraId="3BB20501" w14:textId="77777777" w:rsidR="00A11441" w:rsidRDefault="00A11441" w:rsidP="00A11441">
      <w:pPr>
        <w:pStyle w:val="BodyText"/>
        <w:spacing w:before="6"/>
        <w:rPr>
          <w:b/>
          <w:sz w:val="21"/>
        </w:rPr>
      </w:pPr>
    </w:p>
    <w:tbl>
      <w:tblPr>
        <w:tblW w:w="0" w:type="auto"/>
        <w:tblInd w:w="140" w:type="dxa"/>
        <w:tblBorders>
          <w:top w:val="single" w:sz="8" w:space="0" w:color="7A9ECC"/>
          <w:left w:val="single" w:sz="8" w:space="0" w:color="7A9ECC"/>
          <w:bottom w:val="single" w:sz="8" w:space="0" w:color="7A9ECC"/>
          <w:right w:val="single" w:sz="8" w:space="0" w:color="7A9ECC"/>
          <w:insideH w:val="single" w:sz="8" w:space="0" w:color="7A9ECC"/>
          <w:insideV w:val="single" w:sz="8" w:space="0" w:color="7A9ECC"/>
        </w:tblBorders>
        <w:tblLayout w:type="fixed"/>
        <w:tblCellMar>
          <w:left w:w="0" w:type="dxa"/>
          <w:right w:w="0" w:type="dxa"/>
        </w:tblCellMar>
        <w:tblLook w:val="01E0" w:firstRow="1" w:lastRow="1" w:firstColumn="1" w:lastColumn="1" w:noHBand="0" w:noVBand="0"/>
      </w:tblPr>
      <w:tblGrid>
        <w:gridCol w:w="1734"/>
        <w:gridCol w:w="2148"/>
        <w:gridCol w:w="5459"/>
      </w:tblGrid>
      <w:tr w:rsidR="00A11441" w14:paraId="105357CC" w14:textId="77777777" w:rsidTr="006660EB">
        <w:trPr>
          <w:trHeight w:val="748"/>
        </w:trPr>
        <w:tc>
          <w:tcPr>
            <w:tcW w:w="1734" w:type="dxa"/>
            <w:tcBorders>
              <w:right w:val="nil"/>
            </w:tcBorders>
          </w:tcPr>
          <w:p w14:paraId="3776BDF2" w14:textId="77777777" w:rsidR="00A11441" w:rsidRDefault="00A11441" w:rsidP="006660EB">
            <w:pPr>
              <w:pStyle w:val="TableParagraph"/>
              <w:rPr>
                <w:b/>
              </w:rPr>
            </w:pPr>
          </w:p>
          <w:p w14:paraId="6161CACC" w14:textId="77777777" w:rsidR="00A11441" w:rsidRDefault="00A11441" w:rsidP="006660EB">
            <w:pPr>
              <w:pStyle w:val="TableParagraph"/>
              <w:spacing w:before="7"/>
              <w:rPr>
                <w:b/>
                <w:sz w:val="16"/>
              </w:rPr>
            </w:pPr>
          </w:p>
          <w:p w14:paraId="7FADE4CC" w14:textId="77777777" w:rsidR="00A11441" w:rsidRDefault="00A11441" w:rsidP="006660EB">
            <w:pPr>
              <w:pStyle w:val="TableParagraph"/>
              <w:spacing w:line="256" w:lineRule="exact"/>
              <w:ind w:left="105"/>
              <w:rPr>
                <w:b/>
              </w:rPr>
            </w:pPr>
            <w:r>
              <w:rPr>
                <w:b/>
              </w:rPr>
              <w:t>Date</w:t>
            </w:r>
            <w:r>
              <w:rPr>
                <w:b/>
                <w:spacing w:val="-1"/>
              </w:rPr>
              <w:t xml:space="preserve"> </w:t>
            </w:r>
            <w:r>
              <w:rPr>
                <w:b/>
              </w:rPr>
              <w:t>of</w:t>
            </w:r>
            <w:r>
              <w:rPr>
                <w:b/>
                <w:spacing w:val="-7"/>
              </w:rPr>
              <w:t xml:space="preserve"> </w:t>
            </w:r>
            <w:r>
              <w:rPr>
                <w:b/>
                <w:spacing w:val="-2"/>
              </w:rPr>
              <w:t>Change</w:t>
            </w:r>
          </w:p>
        </w:tc>
        <w:tc>
          <w:tcPr>
            <w:tcW w:w="2148" w:type="dxa"/>
            <w:tcBorders>
              <w:left w:val="nil"/>
              <w:right w:val="nil"/>
            </w:tcBorders>
          </w:tcPr>
          <w:p w14:paraId="4D2F6D81" w14:textId="77777777" w:rsidR="00A11441" w:rsidRDefault="00A11441" w:rsidP="006660EB">
            <w:pPr>
              <w:pStyle w:val="TableParagraph"/>
              <w:rPr>
                <w:b/>
              </w:rPr>
            </w:pPr>
          </w:p>
          <w:p w14:paraId="2F88D065" w14:textId="77777777" w:rsidR="00A11441" w:rsidRDefault="00A11441" w:rsidP="006660EB">
            <w:pPr>
              <w:pStyle w:val="TableParagraph"/>
              <w:spacing w:before="7"/>
              <w:rPr>
                <w:b/>
                <w:sz w:val="16"/>
              </w:rPr>
            </w:pPr>
          </w:p>
          <w:p w14:paraId="2EAF8710" w14:textId="77777777" w:rsidR="00A11441" w:rsidRDefault="00A11441" w:rsidP="006660EB">
            <w:pPr>
              <w:pStyle w:val="TableParagraph"/>
              <w:spacing w:line="256" w:lineRule="exact"/>
              <w:ind w:left="251"/>
              <w:rPr>
                <w:b/>
              </w:rPr>
            </w:pPr>
            <w:r>
              <w:rPr>
                <w:b/>
                <w:spacing w:val="-2"/>
              </w:rPr>
              <w:t>Responsible</w:t>
            </w:r>
          </w:p>
        </w:tc>
        <w:tc>
          <w:tcPr>
            <w:tcW w:w="5459" w:type="dxa"/>
            <w:tcBorders>
              <w:left w:val="nil"/>
            </w:tcBorders>
          </w:tcPr>
          <w:p w14:paraId="1EDD3885" w14:textId="77777777" w:rsidR="00A11441" w:rsidRDefault="00A11441" w:rsidP="006660EB">
            <w:pPr>
              <w:pStyle w:val="TableParagraph"/>
              <w:rPr>
                <w:b/>
              </w:rPr>
            </w:pPr>
          </w:p>
          <w:p w14:paraId="27CE19A3" w14:textId="77777777" w:rsidR="00A11441" w:rsidRDefault="00A11441" w:rsidP="006660EB">
            <w:pPr>
              <w:pStyle w:val="TableParagraph"/>
              <w:spacing w:before="7"/>
              <w:rPr>
                <w:b/>
                <w:sz w:val="16"/>
              </w:rPr>
            </w:pPr>
          </w:p>
          <w:p w14:paraId="28BA5B75" w14:textId="77777777" w:rsidR="00A11441" w:rsidRDefault="00A11441" w:rsidP="006660EB">
            <w:pPr>
              <w:pStyle w:val="TableParagraph"/>
              <w:spacing w:line="256" w:lineRule="exact"/>
              <w:ind w:left="405"/>
              <w:rPr>
                <w:b/>
              </w:rPr>
            </w:pPr>
            <w:r>
              <w:rPr>
                <w:b/>
              </w:rPr>
              <w:t>Summary</w:t>
            </w:r>
            <w:r>
              <w:rPr>
                <w:b/>
                <w:spacing w:val="-6"/>
              </w:rPr>
              <w:t xml:space="preserve"> </w:t>
            </w:r>
            <w:r>
              <w:rPr>
                <w:b/>
              </w:rPr>
              <w:t>of</w:t>
            </w:r>
            <w:r>
              <w:rPr>
                <w:b/>
                <w:spacing w:val="-9"/>
              </w:rPr>
              <w:t xml:space="preserve"> </w:t>
            </w:r>
            <w:r>
              <w:rPr>
                <w:b/>
                <w:spacing w:val="-2"/>
              </w:rPr>
              <w:t>Change</w:t>
            </w:r>
          </w:p>
        </w:tc>
      </w:tr>
      <w:tr w:rsidR="00A11441" w14:paraId="511A46A6" w14:textId="77777777" w:rsidTr="006660EB">
        <w:trPr>
          <w:trHeight w:val="748"/>
        </w:trPr>
        <w:tc>
          <w:tcPr>
            <w:tcW w:w="1734" w:type="dxa"/>
            <w:tcBorders>
              <w:left w:val="single" w:sz="4" w:space="0" w:color="000000"/>
              <w:bottom w:val="single" w:sz="4" w:space="0" w:color="000000"/>
              <w:right w:val="nil"/>
            </w:tcBorders>
          </w:tcPr>
          <w:p w14:paraId="685BDABD" w14:textId="77777777" w:rsidR="00A11441" w:rsidRDefault="00A11441" w:rsidP="006660EB">
            <w:pPr>
              <w:pStyle w:val="TableParagraph"/>
              <w:rPr>
                <w:b/>
              </w:rPr>
            </w:pPr>
          </w:p>
          <w:p w14:paraId="26E37641" w14:textId="77777777" w:rsidR="00A11441" w:rsidRDefault="00A11441" w:rsidP="006660EB">
            <w:pPr>
              <w:pStyle w:val="TableParagraph"/>
              <w:spacing w:before="7"/>
              <w:rPr>
                <w:b/>
                <w:sz w:val="16"/>
              </w:rPr>
            </w:pPr>
          </w:p>
          <w:p w14:paraId="7F3C5D2C" w14:textId="77777777" w:rsidR="00A11441" w:rsidRDefault="00A11441" w:rsidP="006660EB">
            <w:pPr>
              <w:pStyle w:val="TableParagraph"/>
              <w:spacing w:line="257" w:lineRule="exact"/>
              <w:ind w:left="110"/>
            </w:pPr>
            <w:r>
              <w:t>June</w:t>
            </w:r>
            <w:r>
              <w:rPr>
                <w:spacing w:val="-2"/>
              </w:rPr>
              <w:t xml:space="preserve"> </w:t>
            </w:r>
            <w:r>
              <w:rPr>
                <w:spacing w:val="-4"/>
              </w:rPr>
              <w:t>2023</w:t>
            </w:r>
          </w:p>
        </w:tc>
        <w:tc>
          <w:tcPr>
            <w:tcW w:w="2148" w:type="dxa"/>
            <w:tcBorders>
              <w:left w:val="nil"/>
              <w:bottom w:val="single" w:sz="4" w:space="0" w:color="000000"/>
              <w:right w:val="nil"/>
            </w:tcBorders>
          </w:tcPr>
          <w:p w14:paraId="49CF5EB7" w14:textId="77777777" w:rsidR="00A11441" w:rsidRDefault="00A11441" w:rsidP="006660EB">
            <w:pPr>
              <w:pStyle w:val="TableParagraph"/>
              <w:rPr>
                <w:b/>
              </w:rPr>
            </w:pPr>
          </w:p>
          <w:p w14:paraId="33716487" w14:textId="77777777" w:rsidR="00A11441" w:rsidRDefault="00A11441" w:rsidP="006660EB">
            <w:pPr>
              <w:pStyle w:val="TableParagraph"/>
              <w:spacing w:before="7"/>
              <w:rPr>
                <w:b/>
                <w:sz w:val="16"/>
              </w:rPr>
            </w:pPr>
          </w:p>
          <w:p w14:paraId="202A64EA" w14:textId="77777777" w:rsidR="00A11441" w:rsidRDefault="00A11441" w:rsidP="006660EB">
            <w:pPr>
              <w:pStyle w:val="TableParagraph"/>
              <w:spacing w:line="257" w:lineRule="exact"/>
              <w:ind w:left="251"/>
            </w:pPr>
            <w:r>
              <w:t>Oxcyon</w:t>
            </w:r>
            <w:r>
              <w:rPr>
                <w:spacing w:val="-9"/>
              </w:rPr>
              <w:t xml:space="preserve"> </w:t>
            </w:r>
            <w:r>
              <w:t>Policy</w:t>
            </w:r>
            <w:r>
              <w:rPr>
                <w:spacing w:val="-9"/>
              </w:rPr>
              <w:t xml:space="preserve"> </w:t>
            </w:r>
            <w:r>
              <w:rPr>
                <w:spacing w:val="-4"/>
              </w:rPr>
              <w:t>Team</w:t>
            </w:r>
          </w:p>
        </w:tc>
        <w:tc>
          <w:tcPr>
            <w:tcW w:w="5459" w:type="dxa"/>
            <w:tcBorders>
              <w:left w:val="nil"/>
              <w:bottom w:val="single" w:sz="4" w:space="0" w:color="000000"/>
              <w:right w:val="single" w:sz="4" w:space="0" w:color="000000"/>
            </w:tcBorders>
          </w:tcPr>
          <w:p w14:paraId="156E1EA1" w14:textId="77777777" w:rsidR="00A11441" w:rsidRDefault="00A11441" w:rsidP="006660EB">
            <w:pPr>
              <w:pStyle w:val="TableParagraph"/>
              <w:rPr>
                <w:b/>
              </w:rPr>
            </w:pPr>
          </w:p>
          <w:p w14:paraId="3C99D41D" w14:textId="77777777" w:rsidR="00A11441" w:rsidRDefault="00A11441" w:rsidP="006660EB">
            <w:pPr>
              <w:pStyle w:val="TableParagraph"/>
              <w:spacing w:before="7"/>
              <w:rPr>
                <w:b/>
                <w:sz w:val="16"/>
              </w:rPr>
            </w:pPr>
          </w:p>
          <w:p w14:paraId="746B3D44" w14:textId="10F610DF" w:rsidR="00A11441" w:rsidRDefault="00C45F82" w:rsidP="006660EB">
            <w:pPr>
              <w:pStyle w:val="TableParagraph"/>
              <w:spacing w:line="257" w:lineRule="exact"/>
              <w:ind w:left="405"/>
            </w:pPr>
            <w:r>
              <w:t>No changes,</w:t>
            </w:r>
            <w:r w:rsidR="00A11441">
              <w:rPr>
                <w:spacing w:val="-5"/>
              </w:rPr>
              <w:t xml:space="preserve"> </w:t>
            </w:r>
            <w:r>
              <w:t xml:space="preserve">semi annual review. </w:t>
            </w:r>
          </w:p>
        </w:tc>
      </w:tr>
    </w:tbl>
    <w:p w14:paraId="1BF0B89F" w14:textId="2B804676" w:rsidR="004D4B0D" w:rsidRPr="00F1361D" w:rsidRDefault="00F1361D" w:rsidP="00F1361D">
      <w:pPr>
        <w:rPr>
          <w:rFonts w:cstheme="minorHAnsi"/>
        </w:rPr>
      </w:pPr>
      <w:r w:rsidRPr="00F1361D">
        <w:rPr>
          <w:rFonts w:cstheme="minorHAnsi"/>
        </w:rPr>
        <w:br/>
      </w:r>
      <w:r w:rsidRPr="00F1361D">
        <w:rPr>
          <w:rFonts w:cstheme="minorHAnsi"/>
        </w:rPr>
        <w:br/>
      </w:r>
    </w:p>
    <w:sectPr w:rsidR="004D4B0D" w:rsidRPr="00F13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03CB0"/>
    <w:multiLevelType w:val="hybridMultilevel"/>
    <w:tmpl w:val="B82CDFBE"/>
    <w:lvl w:ilvl="0" w:tplc="04090001">
      <w:start w:val="1"/>
      <w:numFmt w:val="bullet"/>
      <w:lvlText w:val=""/>
      <w:lvlJc w:val="left"/>
      <w:pPr>
        <w:ind w:left="720" w:hanging="360"/>
      </w:pPr>
      <w:rPr>
        <w:rFonts w:ascii="Symbol" w:hAnsi="Symbol" w:hint="default"/>
      </w:rPr>
    </w:lvl>
    <w:lvl w:ilvl="1" w:tplc="0958E8D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F766D"/>
    <w:multiLevelType w:val="hybridMultilevel"/>
    <w:tmpl w:val="F07A058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78410311">
    <w:abstractNumId w:val="1"/>
  </w:num>
  <w:num w:numId="2" w16cid:durableId="137561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1D"/>
    <w:rsid w:val="000357F3"/>
    <w:rsid w:val="00050750"/>
    <w:rsid w:val="00242DFC"/>
    <w:rsid w:val="003A4EE1"/>
    <w:rsid w:val="003D68C3"/>
    <w:rsid w:val="004424CC"/>
    <w:rsid w:val="004B5B1F"/>
    <w:rsid w:val="004D4B0D"/>
    <w:rsid w:val="00530E16"/>
    <w:rsid w:val="005836D3"/>
    <w:rsid w:val="0062431C"/>
    <w:rsid w:val="006C600C"/>
    <w:rsid w:val="00883162"/>
    <w:rsid w:val="00922FCE"/>
    <w:rsid w:val="00A11441"/>
    <w:rsid w:val="00AF54AB"/>
    <w:rsid w:val="00B404D2"/>
    <w:rsid w:val="00B868A3"/>
    <w:rsid w:val="00BF1A53"/>
    <w:rsid w:val="00C45F82"/>
    <w:rsid w:val="00E4046E"/>
    <w:rsid w:val="00F1361D"/>
    <w:rsid w:val="00F66FE3"/>
    <w:rsid w:val="00FD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3FDF"/>
  <w15:chartTrackingRefBased/>
  <w15:docId w15:val="{39D11EE4-6589-4324-8B84-7E0E21DF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C60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61D"/>
    <w:pPr>
      <w:ind w:left="720"/>
      <w:contextualSpacing/>
    </w:pPr>
  </w:style>
  <w:style w:type="paragraph" w:styleId="BodyText">
    <w:name w:val="Body Text"/>
    <w:basedOn w:val="Normal"/>
    <w:link w:val="BodyTextChar"/>
    <w:uiPriority w:val="1"/>
    <w:qFormat/>
    <w:rsid w:val="00A11441"/>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A11441"/>
    <w:rPr>
      <w:rFonts w:ascii="Calibri" w:eastAsia="Calibri" w:hAnsi="Calibri" w:cs="Calibri"/>
      <w:kern w:val="0"/>
      <w14:ligatures w14:val="none"/>
    </w:rPr>
  </w:style>
  <w:style w:type="paragraph" w:customStyle="1" w:styleId="TableParagraph">
    <w:name w:val="Table Paragraph"/>
    <w:basedOn w:val="Normal"/>
    <w:uiPriority w:val="1"/>
    <w:qFormat/>
    <w:rsid w:val="00A11441"/>
    <w:pPr>
      <w:widowControl w:val="0"/>
      <w:autoSpaceDE w:val="0"/>
      <w:autoSpaceDN w:val="0"/>
      <w:spacing w:after="0" w:line="240" w:lineRule="auto"/>
    </w:pPr>
    <w:rPr>
      <w:rFonts w:ascii="Calibri" w:eastAsia="Calibri" w:hAnsi="Calibri" w:cs="Calibri"/>
      <w:kern w:val="0"/>
      <w14:ligatures w14:val="none"/>
    </w:rPr>
  </w:style>
  <w:style w:type="character" w:customStyle="1" w:styleId="Heading2Char">
    <w:name w:val="Heading 2 Char"/>
    <w:basedOn w:val="DefaultParagraphFont"/>
    <w:link w:val="Heading2"/>
    <w:uiPriority w:val="9"/>
    <w:semiHidden/>
    <w:rsid w:val="006C600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C600C"/>
    <w:rPr>
      <w:color w:val="0563C1" w:themeColor="hyperlink"/>
      <w:u w:val="single"/>
    </w:rPr>
  </w:style>
  <w:style w:type="character" w:styleId="UnresolvedMention">
    <w:name w:val="Unresolved Mention"/>
    <w:basedOn w:val="DefaultParagraphFont"/>
    <w:uiPriority w:val="99"/>
    <w:semiHidden/>
    <w:unhideWhenUsed/>
    <w:rsid w:val="006C6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cyon.com/Uploads/Public/Documents/ServerDocs/IncidentResponseProcedure.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xcyon.com/Uploads/Public/Documents/ServerDocs/incident-flowchar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cyon.com/Uploads/Public/Documents/SQL%202019%20TDE%20Encryption%20and%20Database%20Restore%20Procedure.pdf" TargetMode="External"/><Relationship Id="rId11" Type="http://schemas.openxmlformats.org/officeDocument/2006/relationships/hyperlink" Target="mailto:mkerchenski@oxcyon.com" TargetMode="External"/><Relationship Id="rId5" Type="http://schemas.openxmlformats.org/officeDocument/2006/relationships/image" Target="media/image1.png"/><Relationship Id="rId10" Type="http://schemas.openxmlformats.org/officeDocument/2006/relationships/hyperlink" Target="https://www.oxcyon.com/centralpoint-dxp/technical-documents-certificates" TargetMode="External"/><Relationship Id="rId4" Type="http://schemas.openxmlformats.org/officeDocument/2006/relationships/webSettings" Target="webSettings.xml"/><Relationship Id="rId9" Type="http://schemas.openxmlformats.org/officeDocument/2006/relationships/hyperlink" Target="https://www.oxcyon.com/centralpoint-dxp/technical-documents-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Michnicki</dc:creator>
  <cp:keywords/>
  <dc:description/>
  <cp:lastModifiedBy>Sam Keller</cp:lastModifiedBy>
  <cp:revision>2</cp:revision>
  <dcterms:created xsi:type="dcterms:W3CDTF">2023-09-27T20:27:00Z</dcterms:created>
  <dcterms:modified xsi:type="dcterms:W3CDTF">2023-09-27T20:27:00Z</dcterms:modified>
</cp:coreProperties>
</file>